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default" w:ascii="Times New Roman" w:hAnsi="Times New Roman" w:eastAsia="仿宋_GB2312" w:cs="Times New Roman"/>
          <w:sz w:val="44"/>
          <w:szCs w:val="44"/>
        </w:rPr>
      </w:pPr>
    </w:p>
    <w:p>
      <w:pPr>
        <w:spacing w:line="584" w:lineRule="exact"/>
        <w:ind w:firstLine="880" w:firstLineChars="200"/>
        <w:rPr>
          <w:rFonts w:hint="default" w:ascii="Times New Roman" w:hAnsi="Times New Roman" w:eastAsia="仿宋_GB2312" w:cs="Times New Roman"/>
          <w:sz w:val="44"/>
          <w:szCs w:val="44"/>
        </w:rPr>
      </w:pPr>
    </w:p>
    <w:p>
      <w:pPr>
        <w:spacing w:line="584" w:lineRule="exact"/>
        <w:ind w:firstLine="880" w:firstLineChars="200"/>
        <w:jc w:val="center"/>
        <w:rPr>
          <w:rFonts w:hint="default" w:ascii="Times New Roman" w:hAnsi="Times New Roman" w:eastAsia="仿宋_GB2312" w:cs="Times New Roman"/>
          <w:sz w:val="44"/>
          <w:szCs w:val="44"/>
        </w:rPr>
      </w:pPr>
      <w:r>
        <w:rPr>
          <w:rFonts w:hint="default" w:ascii="Times New Roman" w:hAnsi="Times New Roman" w:eastAsia="方正小标宋简体" w:cs="Times New Roman"/>
          <w:sz w:val="44"/>
          <w:szCs w:val="44"/>
        </w:rPr>
        <w:t>三河市卫生计生监督执法所202</w:t>
      </w:r>
      <w:r>
        <w:rPr>
          <w:rFonts w:hint="eastAsia"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年单位预算信息公开情况说明</w:t>
      </w:r>
      <w:bookmarkStart w:id="2" w:name="_GoBack"/>
      <w:bookmarkEnd w:id="2"/>
    </w:p>
    <w:p>
      <w:pPr>
        <w:spacing w:line="58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按照《中华人民共和国预算法》、《中华人民共和国预算法实施条例》、《地方预决算公开操作规程》和《河北省省级预算公开办法》规定，现将三河市卫生计生综合监督执法所202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年单位预算公开如下：</w:t>
      </w:r>
    </w:p>
    <w:p>
      <w:pPr>
        <w:spacing w:line="58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一、单位职责及机构设置情况</w:t>
      </w:r>
    </w:p>
    <w:p>
      <w:pPr>
        <w:spacing w:line="584"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单位职责：</w:t>
      </w:r>
    </w:p>
    <w:p>
      <w:pPr>
        <w:autoSpaceDE w:val="0"/>
        <w:autoSpaceDN w:val="0"/>
        <w:adjustRightInd w:val="0"/>
        <w:spacing w:line="584" w:lineRule="exact"/>
        <w:ind w:firstLine="627" w:firstLineChars="196"/>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人民身体健康提供卫生监督保障。有关卫生监督，卫生法制宣传。承担辖区内社会抚养费征收案件的监督审理工作；全市取得妇科专业、产科专业及母婴保健医疗机构的日常监督执法工作及打击“两非”专项工作；承担辖区医疗机构、个体诊所监督监测及传染病筛查上报管理工作。</w:t>
      </w:r>
    </w:p>
    <w:p>
      <w:pPr>
        <w:autoSpaceDE w:val="0"/>
        <w:autoSpaceDN w:val="0"/>
        <w:adjustRightInd w:val="0"/>
        <w:spacing w:line="584" w:lineRule="exact"/>
        <w:ind w:firstLine="630" w:firstLineChars="196"/>
        <w:jc w:val="left"/>
        <w:rPr>
          <w:rFonts w:hint="default"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hint="default"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机构设置：</w:t>
      </w:r>
    </w:p>
    <w:p>
      <w:pPr>
        <w:spacing w:line="584" w:lineRule="exact"/>
        <w:jc w:val="center"/>
        <w:outlineLvl w:val="0"/>
        <w:rPr>
          <w:rFonts w:hint="default" w:ascii="Times New Roman" w:hAnsi="Times New Roman" w:eastAsia="仿宋_GB2312" w:cs="Times New Roman"/>
          <w:b/>
          <w:sz w:val="32"/>
          <w:szCs w:val="24"/>
        </w:rPr>
      </w:pPr>
      <w:r>
        <w:rPr>
          <w:rFonts w:hint="default" w:ascii="Times New Roman" w:hAnsi="Times New Roman" w:eastAsia="仿宋_GB2312" w:cs="Times New Roman"/>
          <w:b/>
          <w:sz w:val="32"/>
          <w:szCs w:val="24"/>
        </w:rPr>
        <w:t>单位机构设置情况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rPr>
                <w:rFonts w:hint="default" w:ascii="Times New Roman" w:hAnsi="Times New Roman" w:cs="Times New Roman"/>
              </w:rPr>
            </w:pPr>
          </w:p>
        </w:tc>
        <w:tc>
          <w:tcPr>
            <w:tcW w:w="1134" w:type="dxa"/>
            <w:vMerge w:val="continue"/>
            <w:shd w:val="clear" w:color="auto" w:fill="auto"/>
            <w:vAlign w:val="center"/>
          </w:tcPr>
          <w:p>
            <w:pPr>
              <w:rPr>
                <w:rFonts w:hint="default" w:ascii="Times New Roman" w:hAnsi="Times New Roman" w:cs="Times New Roman"/>
              </w:rPr>
            </w:pPr>
          </w:p>
        </w:tc>
        <w:tc>
          <w:tcPr>
            <w:tcW w:w="1276" w:type="dxa"/>
            <w:vMerge w:val="continue"/>
            <w:shd w:val="clear" w:color="auto" w:fill="auto"/>
            <w:vAlign w:val="center"/>
          </w:tcPr>
          <w:p>
            <w:pPr>
              <w:rPr>
                <w:rFonts w:hint="default" w:ascii="Times New Roman" w:hAnsi="Times New Roman" w:cs="Times New Roman"/>
              </w:rPr>
            </w:pPr>
          </w:p>
        </w:tc>
        <w:tc>
          <w:tcPr>
            <w:tcW w:w="2902" w:type="dxa"/>
            <w:vMerge w:val="continue"/>
            <w:shd w:val="clear" w:color="auto" w:fill="auto"/>
            <w:vAlign w:val="center"/>
          </w:tcPr>
          <w:p>
            <w:pP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三河市卫生计生综合监督执法所</w:t>
            </w:r>
          </w:p>
        </w:tc>
        <w:tc>
          <w:tcPr>
            <w:tcW w:w="1134" w:type="dxa"/>
            <w:shd w:val="clear" w:color="auto" w:fill="auto"/>
            <w:vAlign w:val="center"/>
          </w:tcPr>
          <w:p>
            <w:pPr>
              <w:spacing w:line="584"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事业</w:t>
            </w:r>
          </w:p>
        </w:tc>
        <w:tc>
          <w:tcPr>
            <w:tcW w:w="1276" w:type="dxa"/>
            <w:shd w:val="clear" w:color="auto" w:fill="auto"/>
            <w:vAlign w:val="center"/>
          </w:tcPr>
          <w:p>
            <w:pPr>
              <w:spacing w:line="584"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股级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全额事业</w:t>
            </w:r>
          </w:p>
        </w:tc>
      </w:tr>
    </w:tbl>
    <w:p>
      <w:pPr>
        <w:spacing w:line="58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二、单位预算安排的总体情况</w:t>
      </w:r>
    </w:p>
    <w:p>
      <w:pPr>
        <w:spacing w:line="58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按照预算管理有关规定，目前我市单位预算的编制实行综合预算制度，即全部收入和支出都反映在预算中。三河市卫生计生综合监督执法所的收支包含在单位预算中。</w:t>
      </w:r>
    </w:p>
    <w:p>
      <w:pPr>
        <w:spacing w:line="584"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1、收入说明</w:t>
      </w:r>
    </w:p>
    <w:p>
      <w:pPr>
        <w:spacing w:line="58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反映本单位当年全部收入。202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26.96</w:t>
      </w:r>
      <w:r>
        <w:rPr>
          <w:rFonts w:hint="default"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26.96</w:t>
      </w:r>
      <w:r>
        <w:rPr>
          <w:rFonts w:hint="default" w:ascii="Times New Roman" w:hAnsi="Times New Roman" w:eastAsia="仿宋_GB2312" w:cs="Times New Roman"/>
          <w:sz w:val="32"/>
          <w:szCs w:val="32"/>
        </w:rPr>
        <w:t>万元，基金预算收入0万元，财政专户核拨收入0万元，其他来源收入0万元，上年结转0万元。</w:t>
      </w:r>
    </w:p>
    <w:p>
      <w:pPr>
        <w:spacing w:line="584"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2、支出说明</w:t>
      </w:r>
    </w:p>
    <w:p>
      <w:pPr>
        <w:spacing w:line="58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收支预算总表支出栏、基本支出表、项目支出表按经济分类和支出功能分类科目编制，反映三河市卫生计生监督执法所年度单位预算中支出预算的总体情况。202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26.96</w:t>
      </w:r>
      <w:r>
        <w:rPr>
          <w:rFonts w:hint="default"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26.96</w:t>
      </w:r>
      <w:r>
        <w:rPr>
          <w:rFonts w:hint="default"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万元和运转类公用经费</w:t>
      </w:r>
      <w:r>
        <w:rPr>
          <w:rFonts w:hint="eastAsia" w:ascii="Times New Roman" w:hAnsi="Times New Roman" w:eastAsia="仿宋_GB2312" w:cs="Times New Roman"/>
          <w:sz w:val="32"/>
          <w:szCs w:val="32"/>
          <w:lang w:val="en-US" w:eastAsia="zh-CN"/>
        </w:rPr>
        <w:t>13.96</w:t>
      </w:r>
      <w:r>
        <w:rPr>
          <w:rFonts w:hint="default" w:ascii="Times New Roman" w:hAnsi="Times New Roman" w:eastAsia="仿宋_GB2312" w:cs="Times New Roman"/>
          <w:sz w:val="32"/>
          <w:szCs w:val="32"/>
        </w:rPr>
        <w:t>万元。</w:t>
      </w:r>
    </w:p>
    <w:p>
      <w:pPr>
        <w:spacing w:line="584"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3、比上年增减情况</w:t>
      </w:r>
    </w:p>
    <w:p>
      <w:pPr>
        <w:spacing w:line="584" w:lineRule="exact"/>
        <w:ind w:firstLine="64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26.96</w:t>
      </w:r>
      <w:r>
        <w:rPr>
          <w:rFonts w:hint="default" w:ascii="Times New Roman" w:hAnsi="Times New Roman" w:eastAsia="仿宋_GB2312" w:cs="Times New Roman"/>
          <w:sz w:val="32"/>
          <w:szCs w:val="32"/>
        </w:rPr>
        <w:t>万元，较</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0.96</w:t>
      </w:r>
      <w:r>
        <w:rPr>
          <w:rFonts w:hint="default"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0.96</w:t>
      </w:r>
      <w:r>
        <w:rPr>
          <w:rFonts w:hint="default" w:ascii="Times New Roman" w:hAnsi="Times New Roman" w:eastAsia="仿宋_GB2312" w:cs="Times New Roman"/>
          <w:sz w:val="32"/>
          <w:szCs w:val="32"/>
        </w:rPr>
        <w:t>万元；项目支出增加0万元。</w:t>
      </w: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三、单位</w:t>
      </w:r>
      <w:r>
        <w:rPr>
          <w:rFonts w:hint="eastAsia" w:ascii="Times New Roman" w:hAnsi="Times New Roman" w:eastAsia="黑体" w:cs="Times New Roman"/>
          <w:sz w:val="32"/>
          <w:szCs w:val="32"/>
          <w:lang w:val="en-US" w:eastAsia="zh-CN"/>
        </w:rPr>
        <w:t>公用</w:t>
      </w:r>
      <w:r>
        <w:rPr>
          <w:rFonts w:hint="default" w:ascii="Times New Roman" w:hAnsi="Times New Roman" w:eastAsia="黑体" w:cs="Times New Roman"/>
          <w:sz w:val="32"/>
          <w:szCs w:val="32"/>
        </w:rPr>
        <w:t>经费安排情况</w:t>
      </w:r>
    </w:p>
    <w:p>
      <w:pPr>
        <w:autoSpaceDE w:val="0"/>
        <w:autoSpaceDN w:val="0"/>
        <w:adjustRightInd w:val="0"/>
        <w:spacing w:line="584"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年，我单位运行经费共计安排</w:t>
      </w:r>
      <w:r>
        <w:rPr>
          <w:rFonts w:hint="eastAsia" w:ascii="Times New Roman" w:hAnsi="Times New Roman" w:eastAsia="仿宋_GB2312" w:cs="Times New Roman"/>
          <w:sz w:val="32"/>
          <w:szCs w:val="32"/>
          <w:lang w:val="en-US" w:eastAsia="zh-CN"/>
        </w:rPr>
        <w:t>13.96</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主要用于</w:t>
      </w:r>
      <w:r>
        <w:rPr>
          <w:rFonts w:hint="eastAsia" w:ascii="Times New Roman" w:hAnsi="Times New Roman" w:eastAsia="仿宋_GB2312" w:cs="Times New Roman"/>
          <w:sz w:val="32"/>
          <w:szCs w:val="32"/>
          <w:lang w:val="en-US" w:eastAsia="zh-CN"/>
        </w:rPr>
        <w:t>培训费、福利费、工会经费及公务用车运行维护费</w:t>
      </w:r>
      <w:r>
        <w:rPr>
          <w:rFonts w:ascii="Times New Roman" w:hAnsi="Times New Roman" w:eastAsia="仿宋_GB2312" w:cs="Times New Roman"/>
          <w:sz w:val="32"/>
          <w:szCs w:val="32"/>
        </w:rPr>
        <w:t>支出</w:t>
      </w:r>
      <w:r>
        <w:rPr>
          <w:rFonts w:hint="default" w:ascii="Times New Roman" w:hAnsi="Times New Roman" w:eastAsia="仿宋_GB2312" w:cs="Times New Roman"/>
          <w:sz w:val="32"/>
          <w:szCs w:val="32"/>
        </w:rPr>
        <w:t>。</w:t>
      </w:r>
    </w:p>
    <w:p>
      <w:pPr>
        <w:autoSpaceDE w:val="0"/>
        <w:autoSpaceDN w:val="0"/>
        <w:adjustRightInd w:val="0"/>
        <w:spacing w:line="584" w:lineRule="exact"/>
        <w:ind w:firstLine="627" w:firstLineChars="196"/>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四、财政拨款“三公”经费预算情况及增减变化原因</w:t>
      </w:r>
    </w:p>
    <w:p>
      <w:pPr>
        <w:autoSpaceDE w:val="0"/>
        <w:autoSpaceDN w:val="0"/>
        <w:adjustRightInd w:val="0"/>
        <w:spacing w:line="584" w:lineRule="exact"/>
        <w:ind w:firstLine="640" w:firstLineChars="200"/>
        <w:jc w:val="left"/>
        <w:rPr>
          <w:rFonts w:hint="eastAsia" w:ascii="方正仿宋_GBK" w:hAnsi="方正仿宋_GBK" w:eastAsia="仿宋_GB2312" w:cs="方正仿宋_GBK"/>
          <w:color w:val="000000"/>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w:t>
      </w:r>
      <w:r>
        <w:rPr>
          <w:rFonts w:hint="eastAsia" w:ascii="Times New Roman" w:hAnsi="Times New Roman" w:eastAsia="仿宋_GB2312" w:cs="Times New Roman"/>
          <w:sz w:val="32"/>
          <w:szCs w:val="32"/>
          <w:lang w:val="en-US" w:eastAsia="zh-CN"/>
        </w:rPr>
        <w:t>比无增减</w:t>
      </w:r>
      <w:r>
        <w:rPr>
          <w:rFonts w:hint="eastAsia" w:ascii="Times New Roman" w:hAnsi="Times New Roman" w:eastAsia="仿宋_GB2312" w:cs="Times New Roman"/>
          <w:sz w:val="32"/>
          <w:szCs w:val="32"/>
          <w:lang w:eastAsia="zh-CN"/>
        </w:rPr>
        <w:t>。</w:t>
      </w:r>
    </w:p>
    <w:p>
      <w:pPr>
        <w:numPr>
          <w:ilvl w:val="0"/>
          <w:numId w:val="0"/>
        </w:numPr>
        <w:spacing w:line="584"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、预算绩效信息</w:t>
      </w:r>
    </w:p>
    <w:p>
      <w:pPr>
        <w:numPr>
          <w:ilvl w:val="0"/>
          <w:numId w:val="0"/>
        </w:numPr>
        <w:spacing w:line="584"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第一部分</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此项无内容</w:t>
      </w:r>
    </w:p>
    <w:p>
      <w:pPr>
        <w:numPr>
          <w:ilvl w:val="0"/>
          <w:numId w:val="1"/>
        </w:numPr>
        <w:spacing w:line="584" w:lineRule="exact"/>
        <w:ind w:firstLine="643" w:firstLineChars="200"/>
        <w:rPr>
          <w:rFonts w:hint="eastAsia" w:ascii="仿宋_GB2312" w:eastAsia="仿宋_GB2312" w:cs="Times New Roman"/>
          <w:sz w:val="32"/>
          <w:szCs w:val="32"/>
          <w:lang w:val="en-US" w:eastAsia="zh-CN"/>
        </w:rPr>
      </w:pPr>
      <w:r>
        <w:rPr>
          <w:rFonts w:hint="eastAsia" w:ascii="楷体_GB2312" w:eastAsia="楷体_GB2312" w:cs="Times New Roman"/>
          <w:b/>
          <w:sz w:val="32"/>
          <w:szCs w:val="32"/>
        </w:rPr>
        <w:t>分项绩效目标</w:t>
      </w:r>
    </w:p>
    <w:p>
      <w:pPr>
        <w:numPr>
          <w:ilvl w:val="0"/>
          <w:numId w:val="0"/>
        </w:numPr>
        <w:spacing w:line="584"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此项无内容</w:t>
      </w:r>
    </w:p>
    <w:p>
      <w:pPr>
        <w:numPr>
          <w:ilvl w:val="0"/>
          <w:numId w:val="2"/>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numPr>
          <w:ilvl w:val="0"/>
          <w:numId w:val="0"/>
        </w:numPr>
        <w:spacing w:line="584"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此项无内容</w:t>
      </w:r>
    </w:p>
    <w:p>
      <w:pPr>
        <w:numPr>
          <w:ilvl w:val="0"/>
          <w:numId w:val="3"/>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单位</w:t>
      </w:r>
      <w:r>
        <w:rPr>
          <w:rFonts w:hint="eastAsia" w:ascii="楷体_GB2312" w:eastAsia="楷体_GB2312" w:cs="Times New Roman"/>
          <w:b/>
          <w:sz w:val="32"/>
          <w:szCs w:val="32"/>
        </w:rPr>
        <w:t>整体支出绩效指标</w:t>
      </w:r>
    </w:p>
    <w:p>
      <w:pPr>
        <w:spacing w:line="584" w:lineRule="exact"/>
        <w:ind w:firstLine="640" w:firstLineChars="200"/>
        <w:rPr>
          <w:rFonts w:hint="default" w:ascii="楷体_GB2312" w:eastAsia="楷体_GB2312" w:cs="Times New Roman"/>
          <w:b/>
          <w:sz w:val="32"/>
          <w:szCs w:val="32"/>
          <w:lang w:val="en-US" w:eastAsia="zh-CN"/>
        </w:rPr>
      </w:pPr>
      <w:r>
        <w:rPr>
          <w:rFonts w:hint="eastAsia" w:ascii="仿宋_GB2312" w:eastAsia="仿宋_GB2312" w:cs="Times New Roman"/>
          <w:sz w:val="32"/>
          <w:szCs w:val="32"/>
          <w:lang w:val="en-US" w:eastAsia="zh-CN"/>
        </w:rPr>
        <w:t>此项无内容</w:t>
      </w:r>
    </w:p>
    <w:p>
      <w:pPr>
        <w:spacing w:line="584"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第二</w:t>
      </w:r>
      <w:r>
        <w:rPr>
          <w:rFonts w:hint="eastAsia" w:ascii="仿宋" w:hAnsi="仿宋" w:eastAsia="仿宋" w:cs="仿宋"/>
          <w:b/>
          <w:bCs/>
          <w:sz w:val="32"/>
          <w:szCs w:val="32"/>
          <w:lang w:val="en-US" w:eastAsia="zh-CN"/>
        </w:rPr>
        <w:t>部分单位</w:t>
      </w:r>
      <w:r>
        <w:rPr>
          <w:rFonts w:hint="eastAsia" w:ascii="仿宋" w:hAnsi="仿宋" w:eastAsia="仿宋" w:cs="仿宋"/>
          <w:b/>
          <w:bCs/>
          <w:sz w:val="32"/>
          <w:szCs w:val="32"/>
        </w:rPr>
        <w:t>资金绩效目标</w:t>
      </w:r>
    </w:p>
    <w:p>
      <w:pPr>
        <w:spacing w:line="584" w:lineRule="exact"/>
        <w:ind w:firstLine="640" w:firstLineChars="200"/>
        <w:rPr>
          <w:rFonts w:hint="default" w:ascii="Times New Roman" w:hAnsi="Times New Roman" w:eastAsia="黑体" w:cs="Times New Roman"/>
          <w:color w:val="FF0000"/>
          <w:sz w:val="44"/>
          <w:szCs w:val="44"/>
          <w:lang w:val="en-US" w:eastAsia="zh-CN"/>
        </w:rPr>
      </w:pPr>
      <w:r>
        <w:rPr>
          <w:rFonts w:hint="eastAsia" w:ascii="仿宋_GB2312" w:eastAsia="仿宋_GB2312" w:cs="Times New Roman"/>
          <w:sz w:val="32"/>
          <w:szCs w:val="32"/>
          <w:lang w:val="en-US" w:eastAsia="zh-CN"/>
        </w:rPr>
        <w:t>此项无内容</w:t>
      </w:r>
    </w:p>
    <w:p>
      <w:pPr>
        <w:numPr>
          <w:ilvl w:val="0"/>
          <w:numId w:val="0"/>
        </w:numPr>
        <w:autoSpaceDE w:val="0"/>
        <w:autoSpaceDN w:val="0"/>
        <w:adjustRightInd w:val="0"/>
        <w:spacing w:line="584"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outlineLvl w:val="1"/>
        <w:rPr>
          <w:rFonts w:ascii="方正小标宋_GBK" w:eastAsia="方正小标宋_GBK" w:cs="Times New Roman"/>
          <w:sz w:val="32"/>
        </w:rPr>
      </w:pPr>
      <w:r>
        <w:rPr>
          <w:rFonts w:hint="eastAsia"/>
          <w:lang w:eastAsia="zh-CN"/>
        </w:rPr>
        <w:t>三河</w:t>
      </w:r>
      <w:r>
        <w:t>市</w:t>
      </w:r>
      <w:r>
        <w:rPr>
          <w:rFonts w:hint="eastAsia"/>
          <w:lang w:val="en-US" w:eastAsia="zh-CN"/>
        </w:rPr>
        <w:t>卫生计生综合监督执法所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3"/>
            </w:pPr>
            <w:r>
              <w:t>合  计</w:t>
            </w: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3"/>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3"/>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3"/>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6"/>
            </w:pPr>
          </w:p>
        </w:tc>
        <w:tc>
          <w:tcPr>
            <w:tcW w:w="1134" w:type="dxa"/>
            <w:vAlign w:val="center"/>
          </w:tcPr>
          <w:p>
            <w:pPr>
              <w:pStyle w:val="16"/>
            </w:pPr>
          </w:p>
        </w:tc>
        <w:tc>
          <w:tcPr>
            <w:tcW w:w="709" w:type="dxa"/>
            <w:vAlign w:val="center"/>
          </w:tcPr>
          <w:p>
            <w:pPr>
              <w:pStyle w:val="18"/>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6"/>
            </w:pPr>
          </w:p>
        </w:tc>
        <w:tc>
          <w:tcPr>
            <w:tcW w:w="1134" w:type="dxa"/>
            <w:vAlign w:val="center"/>
          </w:tcPr>
          <w:p>
            <w:pPr>
              <w:pStyle w:val="16"/>
            </w:pPr>
          </w:p>
        </w:tc>
        <w:tc>
          <w:tcPr>
            <w:tcW w:w="709" w:type="dxa"/>
            <w:vAlign w:val="center"/>
          </w:tcPr>
          <w:p>
            <w:pPr>
              <w:pStyle w:val="18"/>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6"/>
            </w:pPr>
          </w:p>
        </w:tc>
        <w:tc>
          <w:tcPr>
            <w:tcW w:w="1134" w:type="dxa"/>
            <w:vAlign w:val="center"/>
          </w:tcPr>
          <w:p>
            <w:pPr>
              <w:pStyle w:val="16"/>
            </w:pPr>
          </w:p>
        </w:tc>
        <w:tc>
          <w:tcPr>
            <w:tcW w:w="709" w:type="dxa"/>
            <w:vAlign w:val="center"/>
          </w:tcPr>
          <w:p>
            <w:pPr>
              <w:pStyle w:val="18"/>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numPr>
          <w:ilvl w:val="0"/>
          <w:numId w:val="0"/>
        </w:num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、国有资产信息</w:t>
      </w:r>
    </w:p>
    <w:tbl>
      <w:tblPr>
        <w:tblStyle w:val="8"/>
        <w:tblW w:w="13482" w:type="dxa"/>
        <w:tblInd w:w="93" w:type="dxa"/>
        <w:tblLayout w:type="fixed"/>
        <w:tblCellMar>
          <w:top w:w="0" w:type="dxa"/>
          <w:left w:w="108" w:type="dxa"/>
          <w:bottom w:w="0" w:type="dxa"/>
          <w:right w:w="108" w:type="dxa"/>
        </w:tblCellMar>
      </w:tblPr>
      <w:tblGrid>
        <w:gridCol w:w="13482"/>
      </w:tblGrid>
      <w:tr>
        <w:tblPrEx>
          <w:tblCellMar>
            <w:top w:w="0" w:type="dxa"/>
            <w:left w:w="108" w:type="dxa"/>
            <w:bottom w:w="0" w:type="dxa"/>
            <w:right w:w="108" w:type="dxa"/>
          </w:tblCellMar>
        </w:tblPrEx>
        <w:trPr>
          <w:trHeight w:val="705" w:hRule="atLeast"/>
        </w:trPr>
        <w:tc>
          <w:tcPr>
            <w:tcW w:w="13482" w:type="dxa"/>
            <w:tcBorders>
              <w:top w:val="nil"/>
              <w:left w:val="nil"/>
              <w:bottom w:val="nil"/>
              <w:right w:val="nil"/>
            </w:tcBorders>
            <w:shd w:val="clear" w:color="auto" w:fill="auto"/>
            <w:noWrap/>
            <w:vAlign w:val="center"/>
          </w:tcPr>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卫生计生综合监督执法所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353.42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卫生计生综合监督执法所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353.42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353.42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bl>
          <w:p>
            <w:pPr>
              <w:autoSpaceDE w:val="0"/>
              <w:autoSpaceDN w:val="0"/>
              <w:adjustRightInd w:val="0"/>
              <w:spacing w:line="584"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lang w:val="en-US" w:eastAsia="zh-CN"/>
              </w:rPr>
              <w:t>单位</w:t>
            </w:r>
            <w:r>
              <w:rPr>
                <w:rFonts w:ascii="Times New Roman" w:hAnsi="Times New Roman" w:eastAsia="仿宋_GB2312" w:cs="Times New Roman"/>
                <w:b/>
                <w:sz w:val="32"/>
                <w:szCs w:val="32"/>
              </w:rPr>
              <w:t>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widowControl/>
              <w:spacing w:line="584" w:lineRule="exact"/>
              <w:ind w:firstLine="643" w:firstLineChars="200"/>
              <w:rPr>
                <w:rFonts w:hint="default" w:ascii="Times New Roman" w:hAnsi="Times New Roman" w:eastAsia="仿宋_GB2312" w:cs="Times New Roman"/>
                <w:b/>
                <w:bCs/>
                <w:kern w:val="0"/>
                <w:sz w:val="32"/>
                <w:szCs w:val="32"/>
              </w:rPr>
            </w:pPr>
          </w:p>
        </w:tc>
      </w:tr>
    </w:tbl>
    <w:p>
      <w:pPr>
        <w:spacing w:line="584" w:lineRule="exact"/>
        <w:rPr>
          <w:rFonts w:hint="default" w:ascii="Times New Roman" w:hAnsi="Times New Roman" w:eastAsia="仿宋_GB2312" w:cs="Times New Roman"/>
          <w:sz w:val="32"/>
          <w:szCs w:val="32"/>
        </w:rPr>
      </w:pPr>
    </w:p>
    <w:sectPr>
      <w:footerReference r:id="rId3" w:type="default"/>
      <w:pgSz w:w="16838" w:h="11906" w:orient="landscape"/>
      <w:pgMar w:top="1418" w:right="1440" w:bottom="1418"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4BE21"/>
    <w:multiLevelType w:val="singleLevel"/>
    <w:tmpl w:val="A884BE21"/>
    <w:lvl w:ilvl="0" w:tentative="0">
      <w:start w:val="3"/>
      <w:numFmt w:val="chineseCounting"/>
      <w:suff w:val="nothing"/>
      <w:lvlText w:val="（%1）"/>
      <w:lvlJc w:val="left"/>
      <w:rPr>
        <w:rFonts w:hint="eastAsia"/>
      </w:rPr>
    </w:lvl>
  </w:abstractNum>
  <w:abstractNum w:abstractNumId="1">
    <w:nsid w:val="AC9BFF23"/>
    <w:multiLevelType w:val="singleLevel"/>
    <w:tmpl w:val="AC9BFF23"/>
    <w:lvl w:ilvl="0" w:tentative="0">
      <w:start w:val="2"/>
      <w:numFmt w:val="chineseCounting"/>
      <w:suff w:val="nothing"/>
      <w:lvlText w:val="（%1）"/>
      <w:lvlJc w:val="left"/>
      <w:rPr>
        <w:rFonts w:hint="eastAsia"/>
      </w:rPr>
    </w:lvl>
  </w:abstractNum>
  <w:abstractNum w:abstractNumId="2">
    <w:nsid w:val="730183C1"/>
    <w:multiLevelType w:val="singleLevel"/>
    <w:tmpl w:val="730183C1"/>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MGM1MDg1MTE0NzY2ZjdhYWVjYTliNzNhODczMDcifQ=="/>
    <w:docVar w:name="KSO_WPS_MARK_KEY" w:val="bf48b816-4959-42cb-89da-983a8721cdc8"/>
  </w:docVars>
  <w:rsids>
    <w:rsidRoot w:val="00D347CC"/>
    <w:rsid w:val="00216009"/>
    <w:rsid w:val="002457F3"/>
    <w:rsid w:val="002565D7"/>
    <w:rsid w:val="00305DD0"/>
    <w:rsid w:val="00325EDE"/>
    <w:rsid w:val="004878B3"/>
    <w:rsid w:val="004A54AA"/>
    <w:rsid w:val="005F68FD"/>
    <w:rsid w:val="006478BB"/>
    <w:rsid w:val="007862F2"/>
    <w:rsid w:val="00A71B02"/>
    <w:rsid w:val="00A81DD8"/>
    <w:rsid w:val="00AC20B7"/>
    <w:rsid w:val="00B80935"/>
    <w:rsid w:val="00BF18AF"/>
    <w:rsid w:val="00D347CC"/>
    <w:rsid w:val="00E03485"/>
    <w:rsid w:val="0C28590E"/>
    <w:rsid w:val="1735787B"/>
    <w:rsid w:val="284008D6"/>
    <w:rsid w:val="28C66140"/>
    <w:rsid w:val="313823F5"/>
    <w:rsid w:val="31C170C2"/>
    <w:rsid w:val="34703364"/>
    <w:rsid w:val="361A2BDA"/>
    <w:rsid w:val="39270731"/>
    <w:rsid w:val="43EF783C"/>
    <w:rsid w:val="4E2F4A75"/>
    <w:rsid w:val="50B6766D"/>
    <w:rsid w:val="60AF0ED6"/>
    <w:rsid w:val="6AEE2998"/>
    <w:rsid w:val="72847FDC"/>
    <w:rsid w:val="7D4C7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autoRedefine/>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5">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6">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1944</Words>
  <Characters>2042</Characters>
  <Lines>7</Lines>
  <Paragraphs>2</Paragraphs>
  <TotalTime>1</TotalTime>
  <ScaleCrop>false</ScaleCrop>
  <LinksUpToDate>false</LinksUpToDate>
  <CharactersWithSpaces>2131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2021-04-08T07:44:00Z</dcterms:created>
  <dc:creator>guest</dc:creator>
  <cp:lastModifiedBy>CWK</cp:lastModifiedBy>
  <cp:lastPrinted>2021-04-08T09:23:00Z</cp:lastPrinted>
  <dcterms:modified xsi:type="dcterms:W3CDTF">2023-03-05T01:51:33Z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A732E0F1AA5447FB9233CA7C48431B51_13</vt:lpwstr>
  </property>
</Properties>
</file>